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Risk Assessment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Purbeck Valley Farm</w:t>
      </w:r>
    </w:p>
    <w:p w:rsidR="00000000" w:rsidDel="00000000" w:rsidP="00000000" w:rsidRDefault="00000000" w:rsidRPr="00000000" w14:paraId="00000003">
      <w:pPr>
        <w:widowControl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Updated - 10.06.2019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5731200" cy="4533900"/>
            <wp:effectExtent b="25400" l="25400" r="25400" t="25400"/>
            <wp:docPr descr="Screen Shot 2017-01-31 at 12.48.21.png" id="2" name="image2.png"/>
            <a:graphic>
              <a:graphicData uri="http://schemas.openxmlformats.org/drawingml/2006/picture">
                <pic:pic>
                  <pic:nvPicPr>
                    <pic:cNvPr descr="Screen Shot 2017-01-31 at 12.48.21.pn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33900"/>
                    </a:xfrm>
                    <a:prstGeom prst="rect"/>
                    <a:ln w="25400">
                      <a:solidFill>
                        <a:srgbClr val="00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The site consists of: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Main camping field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Access to the camping field.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This is a private site and as such access for the public is not permissible.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850"/>
        <w:gridCol w:w="4485"/>
        <w:tblGridChange w:id="0">
          <w:tblGrid>
            <w:gridCol w:w="1680"/>
            <w:gridCol w:w="2850"/>
            <w:gridCol w:w="448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Hazard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Example Causes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Control Measures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Fire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Naked flame use in tents.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Poorly maintained electrical equipment.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Briefing on arrival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Fire extinguishers and suitable equipment will be provided at each camp and in around catering tent and facilities.  Serviced annually by a reputable provider.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Appropriate signage.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Personal Injury &amp; Illness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Use of outdoor elements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Trip hazards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Ticks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Signage and protocol to prevent the use of outdoor equipment without qualified instructor.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On-going management by camp leader to ensure hazards are removed or minimised.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Fencing around key hazards - LPG tank, CessPit plus clear signage outlining the dangers.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Boiler serviced annually at the start of each season (April) by a registered gas engineer.  (Gas Safe Register - </w:t>
            </w:r>
            <w:hyperlink r:id="rId7">
              <w:r w:rsidDel="00000000" w:rsidR="00000000" w:rsidRPr="00000000">
                <w:rPr>
                  <w:rFonts w:ascii="Proxima Nova" w:cs="Proxima Nova" w:eastAsia="Proxima Nova" w:hAnsi="Proxima Nova"/>
                  <w:color w:val="1155cc"/>
                  <w:u w:val="single"/>
                  <w:rtl w:val="0"/>
                </w:rPr>
                <w:t xml:space="preserve">https://www.gassaferegister.co.uk/</w:t>
              </w:r>
            </w:hyperlink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Electrical circuits tested annually at the start of each season (April) by a qualified electrician - </w:t>
            </w:r>
            <w:hyperlink r:id="rId8">
              <w:r w:rsidDel="00000000" w:rsidR="00000000" w:rsidRPr="00000000">
                <w:rPr>
                  <w:rFonts w:ascii="Proxima Nova" w:cs="Proxima Nova" w:eastAsia="Proxima Nova" w:hAnsi="Proxima Nova"/>
                  <w:color w:val="1155cc"/>
                  <w:u w:val="single"/>
                  <w:rtl w:val="0"/>
                </w:rPr>
                <w:t xml:space="preserve">http://www.niceic.com/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Vehicle access to main campsite to be limited.  Speed of vehicles limited on site to 10mph.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Hygiene</w:t>
            </w: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Poor level of guest hygiene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Dirty facilities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Contaminated water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Catering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Briefing on arrival.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Regular inspection and cleaning of facilities.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Hand washing facilities available with soap.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Water sampling - with specific reference to legionella to be carried out annually at the start of each season.  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Catering is outsourced, check in with their processes to ensure good practice. 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Security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General public entering site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Students walking off-site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The campsite is private (the general public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are not permitted)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Staff to question people who are not recognised. 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The area is fenced and gated.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Land &amp; Wave staff will be present overnight.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Appropriate signage and briefing.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Groups allocated specific area.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3609975</wp:posOffset>
          </wp:positionH>
          <wp:positionV relativeFrom="paragraph">
            <wp:posOffset>123825</wp:posOffset>
          </wp:positionV>
          <wp:extent cx="2857500" cy="666750"/>
          <wp:effectExtent b="0" l="0" r="0" t="0"/>
          <wp:wrapTopAndBottom distB="114300" distT="114300"/>
          <wp:docPr descr="Land-Wave-Pay-Pal-Logo-e1418126129689.jpg" id="1" name="image1.jpg"/>
          <a:graphic>
            <a:graphicData uri="http://schemas.openxmlformats.org/drawingml/2006/picture">
              <pic:pic>
                <pic:nvPicPr>
                  <pic:cNvPr descr="Land-Wave-Pay-Pal-Logo-e1418126129689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57500" cy="6667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gassaferegister.co.uk/" TargetMode="External"/><Relationship Id="rId8" Type="http://schemas.openxmlformats.org/officeDocument/2006/relationships/hyperlink" Target="http://www.niceic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